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A836" w14:textId="6040D766" w:rsidR="005D60C6" w:rsidRDefault="2BADEED3" w:rsidP="008D55E0">
      <w:pPr>
        <w:pStyle w:val="ListParagraph"/>
        <w:numPr>
          <w:ilvl w:val="0"/>
          <w:numId w:val="1"/>
        </w:numPr>
        <w:shd w:val="clear" w:color="auto" w:fill="FFFFFF" w:themeFill="background1"/>
        <w:rPr>
          <w:rFonts w:ascii="Gill Sans MT" w:eastAsia="Aptos" w:hAnsi="Gill Sans MT" w:cs="Aptos"/>
          <w:color w:val="242424"/>
          <w:sz w:val="22"/>
          <w:szCs w:val="22"/>
        </w:rPr>
      </w:pPr>
      <w:r w:rsidRPr="00C71E21">
        <w:rPr>
          <w:rFonts w:ascii="Gill Sans MT" w:eastAsia="Aptos" w:hAnsi="Gill Sans MT" w:cs="Aptos"/>
          <w:color w:val="242424"/>
          <w:sz w:val="22"/>
          <w:szCs w:val="22"/>
        </w:rPr>
        <w:t>SI notes the number of questions may require dividing the survey into two separate calls and goes on to state, “…with each module being administered to 1125 individuals”. Please clarify if the same 2,250 respondents must take part in each half. [dividing a survey into 2 parts and wanting to speak to the sample people would require a larger number of completes for the first set to account for attrition in the 2nd set. This would amount to twice as many in the first set.</w:t>
      </w:r>
    </w:p>
    <w:p w14:paraId="355CBD8B" w14:textId="77777777" w:rsidR="008D55E0" w:rsidRPr="00C71E21" w:rsidRDefault="008D55E0" w:rsidP="008D55E0">
      <w:pPr>
        <w:pStyle w:val="ListParagraph"/>
        <w:shd w:val="clear" w:color="auto" w:fill="FFFFFF" w:themeFill="background1"/>
        <w:rPr>
          <w:rFonts w:ascii="Gill Sans MT" w:eastAsia="Aptos" w:hAnsi="Gill Sans MT" w:cs="Aptos"/>
          <w:color w:val="242424"/>
          <w:sz w:val="22"/>
          <w:szCs w:val="22"/>
        </w:rPr>
      </w:pPr>
    </w:p>
    <w:p w14:paraId="3BF4EF38" w14:textId="57CD7B39" w:rsidR="003E62A3" w:rsidRDefault="0050143E" w:rsidP="003E62A3">
      <w:pPr>
        <w:pStyle w:val="ListParagraph"/>
        <w:shd w:val="clear" w:color="auto" w:fill="FFFFFF" w:themeFill="background1"/>
        <w:spacing w:after="0"/>
        <w:rPr>
          <w:rFonts w:ascii="Gill Sans MT" w:eastAsia="Aptos" w:hAnsi="Gill Sans MT" w:cs="Aptos"/>
          <w:color w:val="215E99" w:themeColor="text2" w:themeTint="BF"/>
          <w:sz w:val="22"/>
          <w:szCs w:val="22"/>
        </w:rPr>
      </w:pPr>
      <w:r w:rsidRPr="00C71E21">
        <w:rPr>
          <w:rFonts w:ascii="Gill Sans MT" w:eastAsia="Aptos" w:hAnsi="Gill Sans MT" w:cs="Aptos"/>
          <w:color w:val="215E99" w:themeColor="text2" w:themeTint="BF"/>
          <w:sz w:val="22"/>
          <w:szCs w:val="22"/>
        </w:rPr>
        <w:t xml:space="preserve">The two modules </w:t>
      </w:r>
      <w:r w:rsidR="005B46B2" w:rsidRPr="00C71E21">
        <w:rPr>
          <w:rFonts w:ascii="Gill Sans MT" w:eastAsia="Aptos" w:hAnsi="Gill Sans MT" w:cs="Aptos"/>
          <w:color w:val="215E99" w:themeColor="text2" w:themeTint="BF"/>
          <w:sz w:val="22"/>
          <w:szCs w:val="22"/>
        </w:rPr>
        <w:t>can involve different samples. This means that it is not necessary for the same 2,250 respondents to take part in both modules. Each module can be administered to a distinct group of 1,125 individuals, avoiding the need to account for attrition between the two sets of respondents.</w:t>
      </w:r>
    </w:p>
    <w:p w14:paraId="53B7901E" w14:textId="77777777" w:rsidR="008D55E0" w:rsidRPr="008D55E0" w:rsidRDefault="008D55E0" w:rsidP="008D55E0">
      <w:pPr>
        <w:shd w:val="clear" w:color="auto" w:fill="FFFFFF" w:themeFill="background1"/>
        <w:spacing w:after="0"/>
        <w:rPr>
          <w:rFonts w:ascii="Gill Sans MT" w:eastAsia="Aptos" w:hAnsi="Gill Sans MT" w:cs="Aptos"/>
          <w:color w:val="215E99" w:themeColor="text2" w:themeTint="BF"/>
          <w:sz w:val="22"/>
          <w:szCs w:val="22"/>
        </w:rPr>
      </w:pPr>
    </w:p>
    <w:p w14:paraId="2AE4D526" w14:textId="75DB0DA3" w:rsidR="005D60C6" w:rsidRPr="008D55E0" w:rsidRDefault="2BADEED3" w:rsidP="1DE0E803">
      <w:pPr>
        <w:pStyle w:val="ListParagraph"/>
        <w:numPr>
          <w:ilvl w:val="0"/>
          <w:numId w:val="1"/>
        </w:numPr>
        <w:shd w:val="clear" w:color="auto" w:fill="FFFFFF" w:themeFill="background1"/>
        <w:spacing w:after="0"/>
        <w:rPr>
          <w:rFonts w:ascii="Gill Sans MT" w:hAnsi="Gill Sans MT"/>
          <w:sz w:val="22"/>
          <w:szCs w:val="22"/>
        </w:rPr>
      </w:pPr>
      <w:r w:rsidRPr="00C71E21">
        <w:rPr>
          <w:rFonts w:ascii="Gill Sans MT" w:eastAsia="Aptos" w:hAnsi="Gill Sans MT" w:cs="Aptos"/>
          <w:color w:val="242424"/>
          <w:sz w:val="22"/>
          <w:szCs w:val="22"/>
        </w:rPr>
        <w:t>Would you please share more information on the types and number of each type of question envisioned across the 75 question - e.g., close-ended, open-ended, matrix?</w:t>
      </w:r>
    </w:p>
    <w:p w14:paraId="3A5CBDDA" w14:textId="77777777" w:rsidR="008D55E0" w:rsidRPr="00C71E21" w:rsidRDefault="008D55E0" w:rsidP="008D55E0">
      <w:pPr>
        <w:pStyle w:val="ListParagraph"/>
        <w:shd w:val="clear" w:color="auto" w:fill="FFFFFF" w:themeFill="background1"/>
        <w:spacing w:after="0"/>
        <w:rPr>
          <w:rFonts w:ascii="Gill Sans MT" w:hAnsi="Gill Sans MT"/>
          <w:sz w:val="22"/>
          <w:szCs w:val="22"/>
        </w:rPr>
      </w:pPr>
    </w:p>
    <w:p w14:paraId="32B11060" w14:textId="58DAC15A" w:rsidR="00D90D9A" w:rsidRDefault="00D90D9A" w:rsidP="00D90D9A">
      <w:pPr>
        <w:pStyle w:val="ListParagraph"/>
        <w:shd w:val="clear" w:color="auto" w:fill="FFFFFF" w:themeFill="background1"/>
        <w:spacing w:after="0"/>
        <w:rPr>
          <w:rFonts w:ascii="Gill Sans MT" w:hAnsi="Gill Sans MT"/>
          <w:color w:val="215E99" w:themeColor="text2" w:themeTint="BF"/>
          <w:sz w:val="22"/>
          <w:szCs w:val="22"/>
        </w:rPr>
      </w:pPr>
      <w:r w:rsidRPr="00C71E21">
        <w:rPr>
          <w:rFonts w:ascii="Gill Sans MT" w:hAnsi="Gill Sans MT"/>
          <w:color w:val="215E99" w:themeColor="text2" w:themeTint="BF"/>
          <w:sz w:val="22"/>
          <w:szCs w:val="22"/>
        </w:rPr>
        <w:t xml:space="preserve">The survey of 75 questions is expected to include a mix of question types, but the majority will be closed ended questions. The current version of the survey questionnaire includes </w:t>
      </w:r>
      <w:r w:rsidR="00EF2CBC" w:rsidRPr="00C71E21">
        <w:rPr>
          <w:rFonts w:ascii="Gill Sans MT" w:hAnsi="Gill Sans MT"/>
          <w:color w:val="215E99" w:themeColor="text2" w:themeTint="BF"/>
          <w:sz w:val="22"/>
          <w:szCs w:val="22"/>
        </w:rPr>
        <w:t xml:space="preserve">about </w:t>
      </w:r>
      <w:r w:rsidR="00C71E21" w:rsidRPr="00C71E21">
        <w:rPr>
          <w:rFonts w:ascii="Gill Sans MT" w:hAnsi="Gill Sans MT"/>
          <w:color w:val="215E99" w:themeColor="text2" w:themeTint="BF"/>
          <w:sz w:val="22"/>
          <w:szCs w:val="22"/>
        </w:rPr>
        <w:t>9</w:t>
      </w:r>
      <w:r w:rsidR="00EF2CBC" w:rsidRPr="00C71E21">
        <w:rPr>
          <w:rFonts w:ascii="Gill Sans MT" w:hAnsi="Gill Sans MT"/>
          <w:color w:val="215E99" w:themeColor="text2" w:themeTint="BF"/>
          <w:sz w:val="22"/>
          <w:szCs w:val="22"/>
        </w:rPr>
        <w:t>0% closed ended</w:t>
      </w:r>
      <w:r w:rsidRPr="00C71E21">
        <w:rPr>
          <w:rFonts w:ascii="Gill Sans MT" w:hAnsi="Gill Sans MT"/>
          <w:color w:val="215E99" w:themeColor="text2" w:themeTint="BF"/>
          <w:sz w:val="22"/>
          <w:szCs w:val="22"/>
        </w:rPr>
        <w:t>.</w:t>
      </w:r>
      <w:r w:rsidR="00C71E21" w:rsidRPr="00C71E21">
        <w:rPr>
          <w:rFonts w:ascii="Gill Sans MT" w:hAnsi="Gill Sans MT"/>
          <w:color w:val="215E99" w:themeColor="text2" w:themeTint="BF"/>
          <w:sz w:val="22"/>
          <w:szCs w:val="22"/>
        </w:rPr>
        <w:t xml:space="preserve"> Open ended questions generally are asked as methods for explaining or providing more information as follow up from a previous answer</w:t>
      </w:r>
    </w:p>
    <w:p w14:paraId="08B1EC53" w14:textId="77777777" w:rsidR="008D55E0" w:rsidRPr="008D55E0" w:rsidRDefault="008D55E0" w:rsidP="008D55E0">
      <w:pPr>
        <w:shd w:val="clear" w:color="auto" w:fill="FFFFFF" w:themeFill="background1"/>
        <w:spacing w:after="0"/>
        <w:rPr>
          <w:rFonts w:ascii="Gill Sans MT" w:hAnsi="Gill Sans MT"/>
          <w:color w:val="215E99" w:themeColor="text2" w:themeTint="BF"/>
          <w:sz w:val="22"/>
          <w:szCs w:val="22"/>
        </w:rPr>
      </w:pPr>
    </w:p>
    <w:p w14:paraId="1E02CE06" w14:textId="77777777" w:rsidR="003E62A3" w:rsidRPr="00C71E21" w:rsidRDefault="003E62A3" w:rsidP="003E62A3">
      <w:pPr>
        <w:pStyle w:val="ListParagraph"/>
        <w:numPr>
          <w:ilvl w:val="0"/>
          <w:numId w:val="1"/>
        </w:numPr>
        <w:shd w:val="clear" w:color="auto" w:fill="FFFFFF"/>
        <w:spacing w:line="240" w:lineRule="auto"/>
        <w:jc w:val="both"/>
        <w:textAlignment w:val="baseline"/>
        <w:rPr>
          <w:rFonts w:ascii="Gill Sans MT" w:eastAsia="Times New Roman" w:hAnsi="Gill Sans MT" w:cs="Calibri"/>
          <w:color w:val="000000"/>
          <w:sz w:val="22"/>
          <w:szCs w:val="22"/>
          <w:lang w:eastAsia="en-US"/>
        </w:rPr>
      </w:pPr>
      <w:r w:rsidRPr="00C71E21">
        <w:rPr>
          <w:rFonts w:ascii="Gill Sans MT" w:eastAsia="Times New Roman" w:hAnsi="Gill Sans MT" w:cs="Calibri"/>
          <w:b/>
          <w:bCs/>
          <w:color w:val="000000"/>
          <w:sz w:val="22"/>
          <w:szCs w:val="22"/>
          <w:lang w:eastAsia="en-US"/>
        </w:rPr>
        <w:t>Estimate time needed to complete the phone interview of each respondent.</w:t>
      </w:r>
    </w:p>
    <w:p w14:paraId="45300BF8" w14:textId="421B2619" w:rsidR="008D55E0" w:rsidRDefault="003E62A3" w:rsidP="008D55E0">
      <w:pPr>
        <w:pStyle w:val="ListParagraph"/>
        <w:shd w:val="clear" w:color="auto" w:fill="FFFFFF"/>
        <w:spacing w:line="240" w:lineRule="auto"/>
        <w:jc w:val="both"/>
        <w:textAlignment w:val="baseline"/>
        <w:rPr>
          <w:rFonts w:ascii="Gill Sans MT" w:eastAsia="Times New Roman" w:hAnsi="Gill Sans MT" w:cs="Calibri"/>
          <w:color w:val="000000"/>
          <w:sz w:val="22"/>
          <w:szCs w:val="22"/>
          <w:lang w:eastAsia="en-US"/>
        </w:rPr>
      </w:pPr>
      <w:r w:rsidRPr="00C71E21">
        <w:rPr>
          <w:rFonts w:ascii="Gill Sans MT" w:eastAsia="Times New Roman" w:hAnsi="Gill Sans MT" w:cs="Calibri"/>
          <w:color w:val="000000"/>
          <w:sz w:val="22"/>
          <w:szCs w:val="22"/>
          <w:lang w:eastAsia="en-US"/>
        </w:rPr>
        <w:t>Per indications from the SOW, the time estimated for the survey is 20 minutes.  </w:t>
      </w:r>
      <w:r w:rsidRPr="00C71E21">
        <w:rPr>
          <w:rFonts w:ascii="Gill Sans MT" w:eastAsia="Times New Roman" w:hAnsi="Gill Sans MT" w:cs="Calibri"/>
          <w:b/>
          <w:bCs/>
          <w:color w:val="000000"/>
          <w:sz w:val="22"/>
          <w:szCs w:val="22"/>
          <w:lang w:eastAsia="en-US"/>
        </w:rPr>
        <w:t>Is this duration referring to the time needed to complete all the modules or just half of modules?</w:t>
      </w:r>
      <w:r w:rsidRPr="00C71E21">
        <w:rPr>
          <w:rFonts w:ascii="Gill Sans MT" w:eastAsia="Times New Roman" w:hAnsi="Gill Sans MT" w:cs="Calibri"/>
          <w:color w:val="000000"/>
          <w:sz w:val="22"/>
          <w:szCs w:val="22"/>
          <w:lang w:eastAsia="en-US"/>
        </w:rPr>
        <w:t>  Clarification is needed because the SOW indicates that the survey is long, with over 75 questions, SI anticipates needing to split the survey into two modules, with each module being administered to 1125 individuals (half of the respondents).</w:t>
      </w:r>
    </w:p>
    <w:p w14:paraId="3411F2CD" w14:textId="77777777" w:rsidR="008D55E0" w:rsidRPr="008D55E0" w:rsidRDefault="008D55E0" w:rsidP="008D55E0">
      <w:pPr>
        <w:pStyle w:val="ListParagraph"/>
        <w:shd w:val="clear" w:color="auto" w:fill="FFFFFF"/>
        <w:spacing w:line="240" w:lineRule="auto"/>
        <w:jc w:val="both"/>
        <w:textAlignment w:val="baseline"/>
        <w:rPr>
          <w:rFonts w:ascii="Gill Sans MT" w:eastAsia="Times New Roman" w:hAnsi="Gill Sans MT" w:cs="Calibri"/>
          <w:color w:val="000000"/>
          <w:sz w:val="22"/>
          <w:szCs w:val="22"/>
          <w:lang w:eastAsia="en-US"/>
        </w:rPr>
      </w:pPr>
    </w:p>
    <w:p w14:paraId="2C078E63" w14:textId="3974FAFC" w:rsidR="005D60C6" w:rsidRPr="00C71E21" w:rsidRDefault="003C07F2" w:rsidP="00770DF6">
      <w:pPr>
        <w:pStyle w:val="ListParagraph"/>
        <w:shd w:val="clear" w:color="auto" w:fill="FFFFFF"/>
        <w:spacing w:line="240" w:lineRule="auto"/>
        <w:jc w:val="both"/>
        <w:textAlignment w:val="baseline"/>
        <w:rPr>
          <w:rFonts w:ascii="Gill Sans MT" w:eastAsia="Times New Roman" w:hAnsi="Gill Sans MT" w:cs="Calibri"/>
          <w:color w:val="000000"/>
          <w:sz w:val="22"/>
          <w:szCs w:val="22"/>
          <w:lang w:eastAsia="en-US"/>
        </w:rPr>
      </w:pPr>
      <w:r w:rsidRPr="00C71E21">
        <w:rPr>
          <w:rFonts w:ascii="Gill Sans MT" w:hAnsi="Gill Sans MT"/>
          <w:color w:val="215E99" w:themeColor="text2" w:themeTint="BF"/>
          <w:sz w:val="22"/>
          <w:szCs w:val="22"/>
        </w:rPr>
        <w:t>The estimated 20 minutes in the SOW refers to the completion of each of the two modules.</w:t>
      </w:r>
      <w:r w:rsidR="004B6019" w:rsidRPr="00C71E21">
        <w:rPr>
          <w:rFonts w:ascii="Gill Sans MT" w:hAnsi="Gill Sans MT"/>
          <w:color w:val="215E99" w:themeColor="text2" w:themeTint="BF"/>
          <w:sz w:val="22"/>
          <w:szCs w:val="22"/>
        </w:rPr>
        <w:t xml:space="preserve"> We anticipate these being separate samples so that each respondent would be administered one 20 minute module.</w:t>
      </w:r>
      <w:r w:rsidRPr="00C71E21">
        <w:rPr>
          <w:rFonts w:ascii="Gill Sans MT" w:hAnsi="Gill Sans MT"/>
          <w:color w:val="215E99" w:themeColor="text2" w:themeTint="BF"/>
          <w:sz w:val="22"/>
          <w:szCs w:val="22"/>
        </w:rPr>
        <w:t xml:space="preserve"> </w:t>
      </w:r>
      <w:r w:rsidR="001230FC" w:rsidRPr="00C71E21">
        <w:rPr>
          <w:rFonts w:ascii="Gill Sans MT" w:hAnsi="Gill Sans MT"/>
          <w:color w:val="215E99" w:themeColor="text2" w:themeTint="BF"/>
          <w:sz w:val="22"/>
          <w:szCs w:val="22"/>
        </w:rPr>
        <w:t>The timing should be</w:t>
      </w:r>
      <w:r w:rsidRPr="00C71E21">
        <w:rPr>
          <w:rFonts w:ascii="Gill Sans MT" w:hAnsi="Gill Sans MT"/>
          <w:color w:val="215E99" w:themeColor="text2" w:themeTint="BF"/>
          <w:sz w:val="22"/>
          <w:szCs w:val="22"/>
        </w:rPr>
        <w:t xml:space="preserve"> confirm</w:t>
      </w:r>
      <w:r w:rsidR="001230FC" w:rsidRPr="00C71E21">
        <w:rPr>
          <w:rFonts w:ascii="Gill Sans MT" w:hAnsi="Gill Sans MT"/>
          <w:color w:val="215E99" w:themeColor="text2" w:themeTint="BF"/>
          <w:sz w:val="22"/>
          <w:szCs w:val="22"/>
        </w:rPr>
        <w:t>ed</w:t>
      </w:r>
      <w:r w:rsidRPr="00C71E21">
        <w:rPr>
          <w:rFonts w:ascii="Gill Sans MT" w:hAnsi="Gill Sans MT"/>
          <w:color w:val="215E99" w:themeColor="text2" w:themeTint="BF"/>
          <w:sz w:val="22"/>
          <w:szCs w:val="22"/>
        </w:rPr>
        <w:t xml:space="preserve"> after testing the final version of the survey.</w:t>
      </w:r>
    </w:p>
    <w:p w14:paraId="6A560CDD" w14:textId="77777777" w:rsidR="003E62A3" w:rsidRPr="00C71E21" w:rsidRDefault="003E62A3">
      <w:pPr>
        <w:rPr>
          <w:rFonts w:ascii="Gill Sans MT" w:hAnsi="Gill Sans MT"/>
          <w:color w:val="215E99" w:themeColor="text2" w:themeTint="BF"/>
          <w:sz w:val="22"/>
          <w:szCs w:val="22"/>
        </w:rPr>
      </w:pPr>
    </w:p>
    <w:sectPr w:rsidR="003E62A3" w:rsidRPr="00C71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81D90"/>
    <w:multiLevelType w:val="hybridMultilevel"/>
    <w:tmpl w:val="140454F4"/>
    <w:lvl w:ilvl="0" w:tplc="AC907E74">
      <w:start w:val="1"/>
      <w:numFmt w:val="decimal"/>
      <w:lvlText w:val="%1."/>
      <w:lvlJc w:val="left"/>
      <w:pPr>
        <w:ind w:left="720" w:hanging="360"/>
      </w:pPr>
    </w:lvl>
    <w:lvl w:ilvl="1" w:tplc="A46C3A22">
      <w:start w:val="1"/>
      <w:numFmt w:val="lowerLetter"/>
      <w:lvlText w:val="%2."/>
      <w:lvlJc w:val="left"/>
      <w:pPr>
        <w:ind w:left="1440" w:hanging="360"/>
      </w:pPr>
    </w:lvl>
    <w:lvl w:ilvl="2" w:tplc="B02C342C">
      <w:start w:val="1"/>
      <w:numFmt w:val="lowerRoman"/>
      <w:lvlText w:val="%3."/>
      <w:lvlJc w:val="right"/>
      <w:pPr>
        <w:ind w:left="2160" w:hanging="180"/>
      </w:pPr>
    </w:lvl>
    <w:lvl w:ilvl="3" w:tplc="0A547506">
      <w:start w:val="1"/>
      <w:numFmt w:val="decimal"/>
      <w:lvlText w:val="%4."/>
      <w:lvlJc w:val="left"/>
      <w:pPr>
        <w:ind w:left="2880" w:hanging="360"/>
      </w:pPr>
    </w:lvl>
    <w:lvl w:ilvl="4" w:tplc="04F80164">
      <w:start w:val="1"/>
      <w:numFmt w:val="lowerLetter"/>
      <w:lvlText w:val="%5."/>
      <w:lvlJc w:val="left"/>
      <w:pPr>
        <w:ind w:left="3600" w:hanging="360"/>
      </w:pPr>
    </w:lvl>
    <w:lvl w:ilvl="5" w:tplc="D7405A9A">
      <w:start w:val="1"/>
      <w:numFmt w:val="lowerRoman"/>
      <w:lvlText w:val="%6."/>
      <w:lvlJc w:val="right"/>
      <w:pPr>
        <w:ind w:left="4320" w:hanging="180"/>
      </w:pPr>
    </w:lvl>
    <w:lvl w:ilvl="6" w:tplc="26D4DA06">
      <w:start w:val="1"/>
      <w:numFmt w:val="decimal"/>
      <w:lvlText w:val="%7."/>
      <w:lvlJc w:val="left"/>
      <w:pPr>
        <w:ind w:left="5040" w:hanging="360"/>
      </w:pPr>
    </w:lvl>
    <w:lvl w:ilvl="7" w:tplc="95CADBCC">
      <w:start w:val="1"/>
      <w:numFmt w:val="lowerLetter"/>
      <w:lvlText w:val="%8."/>
      <w:lvlJc w:val="left"/>
      <w:pPr>
        <w:ind w:left="5760" w:hanging="360"/>
      </w:pPr>
    </w:lvl>
    <w:lvl w:ilvl="8" w:tplc="AFB68E40">
      <w:start w:val="1"/>
      <w:numFmt w:val="lowerRoman"/>
      <w:lvlText w:val="%9."/>
      <w:lvlJc w:val="right"/>
      <w:pPr>
        <w:ind w:left="6480" w:hanging="180"/>
      </w:pPr>
    </w:lvl>
  </w:abstractNum>
  <w:num w:numId="1" w16cid:durableId="408236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75EDF"/>
    <w:rsid w:val="001230FC"/>
    <w:rsid w:val="003C07F2"/>
    <w:rsid w:val="003E62A3"/>
    <w:rsid w:val="004B6019"/>
    <w:rsid w:val="0050143E"/>
    <w:rsid w:val="005B46B2"/>
    <w:rsid w:val="005D60C6"/>
    <w:rsid w:val="00770DF6"/>
    <w:rsid w:val="008D55E0"/>
    <w:rsid w:val="00AD4AF5"/>
    <w:rsid w:val="00C71E21"/>
    <w:rsid w:val="00D90D9A"/>
    <w:rsid w:val="00EF2CBC"/>
    <w:rsid w:val="1DE0E803"/>
    <w:rsid w:val="2BADEED3"/>
    <w:rsid w:val="5ED7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5EDF"/>
  <w15:chartTrackingRefBased/>
  <w15:docId w15:val="{3AC81BEB-4D42-4574-AA03-82AFE31D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3E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2980">
      <w:bodyDiv w:val="1"/>
      <w:marLeft w:val="0"/>
      <w:marRight w:val="0"/>
      <w:marTop w:val="0"/>
      <w:marBottom w:val="0"/>
      <w:divBdr>
        <w:top w:val="none" w:sz="0" w:space="0" w:color="auto"/>
        <w:left w:val="none" w:sz="0" w:space="0" w:color="auto"/>
        <w:bottom w:val="none" w:sz="0" w:space="0" w:color="auto"/>
        <w:right w:val="none" w:sz="0" w:space="0" w:color="auto"/>
      </w:divBdr>
      <w:divsChild>
        <w:div w:id="1801456878">
          <w:marLeft w:val="0"/>
          <w:marRight w:val="0"/>
          <w:marTop w:val="0"/>
          <w:marBottom w:val="160"/>
          <w:divBdr>
            <w:top w:val="none" w:sz="0" w:space="0" w:color="auto"/>
            <w:left w:val="none" w:sz="0" w:space="0" w:color="auto"/>
            <w:bottom w:val="none" w:sz="0" w:space="0" w:color="auto"/>
            <w:right w:val="none" w:sz="0" w:space="0" w:color="auto"/>
          </w:divBdr>
        </w:div>
        <w:div w:id="98063160">
          <w:marLeft w:val="708"/>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40593d-12c9-4d61-850a-a52417201426">
      <Terms xmlns="http://schemas.microsoft.com/office/infopath/2007/PartnerControls"/>
    </lcf76f155ced4ddcb4097134ff3c332f>
    <TaxCatchAll xmlns="c77fb582-37ac-490a-a3e4-21db8499f2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E5C72091E2844CB8A1104B4EE3C62C" ma:contentTypeVersion="14" ma:contentTypeDescription="Create a new document." ma:contentTypeScope="" ma:versionID="6211a1549ffe0cc81c55e493b0fea5bf">
  <xsd:schema xmlns:xsd="http://www.w3.org/2001/XMLSchema" xmlns:xs="http://www.w3.org/2001/XMLSchema" xmlns:p="http://schemas.microsoft.com/office/2006/metadata/properties" xmlns:ns2="ff40593d-12c9-4d61-850a-a52417201426" xmlns:ns3="c77fb582-37ac-490a-a3e4-21db8499f202" targetNamespace="http://schemas.microsoft.com/office/2006/metadata/properties" ma:root="true" ma:fieldsID="bb002d83516beecf1d55dac1ddb56a89" ns2:_="" ns3:_="">
    <xsd:import namespace="ff40593d-12c9-4d61-850a-a52417201426"/>
    <xsd:import namespace="c77fb582-37ac-490a-a3e4-21db8499f2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593d-12c9-4d61-850a-a52417201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bd4ad2-77c1-462c-97e6-c7124418a2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fb582-37ac-490a-a3e4-21db8499f2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1194f6-0f7e-411b-8029-4674521efafc}" ma:internalName="TaxCatchAll" ma:showField="CatchAllData" ma:web="c77fb582-37ac-490a-a3e4-21db8499f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23FAF-1780-4FC6-804E-D1A3C06F2749}">
  <ds:schemaRefs>
    <ds:schemaRef ds:uri="http://schemas.microsoft.com/office/2006/metadata/properties"/>
    <ds:schemaRef ds:uri="http://schemas.microsoft.com/office/infopath/2007/PartnerControls"/>
    <ds:schemaRef ds:uri="ff40593d-12c9-4d61-850a-a52417201426"/>
    <ds:schemaRef ds:uri="c77fb582-37ac-490a-a3e4-21db8499f202"/>
  </ds:schemaRefs>
</ds:datastoreItem>
</file>

<file path=customXml/itemProps2.xml><?xml version="1.0" encoding="utf-8"?>
<ds:datastoreItem xmlns:ds="http://schemas.openxmlformats.org/officeDocument/2006/customXml" ds:itemID="{39B2B5EF-781A-4CC7-B3BD-24057DA32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593d-12c9-4d61-850a-a52417201426"/>
    <ds:schemaRef ds:uri="c77fb582-37ac-490a-a3e4-21db8499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1076C-6D7B-47FA-8381-77BFF056B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Price</dc:creator>
  <cp:keywords/>
  <dc:description/>
  <cp:lastModifiedBy>Josh Giebel</cp:lastModifiedBy>
  <cp:revision>13</cp:revision>
  <dcterms:created xsi:type="dcterms:W3CDTF">2024-10-08T19:38:00Z</dcterms:created>
  <dcterms:modified xsi:type="dcterms:W3CDTF">2024-10-22T20:13:00Z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0x010100A8E5C72091E2844CB8A1104B4EE3C62C</vt:lpwstr>
  </property>
  <property fmtid="{D5CDD505-2E9C-101B-9397-08002B2CF9AE}" pid="3" name="MediaServiceImageTags">
    <vt:lpwstr/>
  </property>
</Properties>
</file>